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Breedlove Robert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PHATHOM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CAMPUS DRIVE,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FLORHAM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Phathom Pharmaceuticals, Inc.</w:t>
              </w:r>
            </w:hyperlink>
            <w:r>
              <w:rPr/>
              <w:t xml:space="preserve"> [ </w:t>
            </w:r>
            <w:r>
              <w:rPr>
                <w:rFonts w:ascii="Times;serif" w:hAnsi="Times;serif"/>
                <w:color w:val="0000FF"/>
                <w:sz w:val="24"/>
                <w:shd w:fill="FFFFFF" w:val="clear"/>
              </w:rPr>
              <w:t>PHAT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13,000</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60,068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2,790</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62,858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61,894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(4)</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61,480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6,945.4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February 27, 2026. 1/3 of the total number of RSUs granted vest on each of the first three anniversaries of February 27, 2026, the vesting commencement date, subject to the Reporting Person's continued service through each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issued upon vesting of performance stock units granted to the reporting person on February 27, 2025 based on the achievement of performance criteria determined to be satisfied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underlying the performance stock units that were surrendered by the reporting person to the Issuer in satisfaction of the Issuer's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underlying RSUs that were surrendered by the reporting person to the Issuer upon vesting of such RSU in satisfaction of the Issuer's tax withholding obligation.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Charles Breedlove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6645" TargetMode="External"/><Relationship Id="rId5" Type="http://schemas.openxmlformats.org/officeDocument/2006/relationships/hyperlink" Target="http://www.sec.gov/cgi-bin/browse-edgar?action=getcompany&amp;CIK=00017831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4070</Characters>
  <CharactersWithSpaces>4734</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