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COLA MICHAEL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PHATHOM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CAMPUS DRIVE, SUITE 102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FLORHAM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Phathom Pharmaceuticals, Inc.</w:t>
              </w:r>
            </w:hyperlink>
            <w:r>
              <w:rPr/>
              <w:t xml:space="preserve"> [ </w:t>
            </w:r>
            <w:r>
              <w:rPr>
                <w:rFonts w:ascii="Times;serif" w:hAnsi="Times;serif"/>
                <w:color w:val="0000FF"/>
                <w:sz w:val="24"/>
                <w:shd w:fill="FFFFFF" w:val="clear"/>
              </w:rPr>
              <w:t>PHAT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24,122</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63,920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("RSUs") were granted on May 19, 2026, pursuant to the Issuer's Non-Employee Director Compensation Program. 100% of the total number of RSUs granted shall vest on the first to occur of (A) the first anniversary of the date of grant or (B) the next occurring annual meeting of the Issuer's stockholders, subject to the Reporting Person's continuing service on the Board through such vesting date. Each RSU represents a contingent right to receive one share of common stock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Anne Marie Cook, Attorney-in-Fact for Michael F. Cola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8940" TargetMode="External"/><Relationship Id="rId5" Type="http://schemas.openxmlformats.org/officeDocument/2006/relationships/hyperlink" Target="http://www.sec.gov/cgi-bin/browse-edgar?action=getcompany&amp;CIK=00017831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3522</Characters>
  <CharactersWithSpaces>4117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